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6"/>
        <w:gridCol w:w="186"/>
        <w:gridCol w:w="357"/>
        <w:gridCol w:w="439"/>
        <w:gridCol w:w="235"/>
        <w:gridCol w:w="197"/>
        <w:gridCol w:w="160"/>
        <w:gridCol w:w="243"/>
        <w:gridCol w:w="281"/>
        <w:gridCol w:w="459"/>
        <w:gridCol w:w="586"/>
        <w:gridCol w:w="303"/>
        <w:gridCol w:w="312"/>
        <w:gridCol w:w="211"/>
        <w:gridCol w:w="404"/>
        <w:gridCol w:w="235"/>
        <w:gridCol w:w="394"/>
        <w:gridCol w:w="308"/>
        <w:gridCol w:w="160"/>
        <w:gridCol w:w="343"/>
        <w:gridCol w:w="514"/>
        <w:gridCol w:w="231"/>
        <w:gridCol w:w="1200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Kontrapunkt historyczny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Jednostka prowadz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2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12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Gra na violone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Profil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60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Forma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ad</w:t>
            </w:r>
          </w:p>
        </w:tc>
        <w:tc>
          <w:tcPr>
            <w:tcW w:type="dxa" w:w="239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4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03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41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Prowadz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Mgr Przemys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aw Zych</w:t>
            </w:r>
          </w:p>
        </w:tc>
      </w:tr>
      <w:tr>
        <w:tblPrEx>
          <w:shd w:val="clear" w:color="auto" w:fill="cdd4e9"/>
        </w:tblPrEx>
        <w:trPr>
          <w:trHeight w:val="2090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Przygotowanie do samodzielnego pisania utwor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w polifonicznych, tj.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fug, kanon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w, swobodnych form (preludium, toccata) i ostinatowych (passacaglia) oraz opracowa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na instrumenty solo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i na orkiestr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nych stylach i gatunkach historycznych przy pomocy procedur kontrapunktycznych, ze szczeg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lnym uwzgl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dnieniem stylu barokowego. Opanowanie korelacji przebiegu poziomego z warstw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tonaln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oraz rytmiczn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utworu. Poszerzenie wiedzy przysz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ego dyrygenta i wyrobienie wra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na linearny przebieg dzie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 muzycznego oraz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wiadomo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proces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w fakturalnych.</w:t>
            </w:r>
          </w:p>
        </w:tc>
      </w:tr>
      <w:tr>
        <w:tblPrEx>
          <w:shd w:val="clear" w:color="auto" w:fill="cdd4e9"/>
        </w:tblPrEx>
        <w:trPr>
          <w:trHeight w:val="763" w:hRule="atLeast"/>
        </w:trPr>
        <w:tc>
          <w:tcPr>
            <w:tcW w:type="dxa" w:w="240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Wymagania wst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41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specjalno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Gra na violone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2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1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110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2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ma gruntown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znajomo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repertuaru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oraz jej specyficznych obszar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w: literatury muzyki solowej, kameralnej z udzia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em instrument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towarzysz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cych, zna aktualnie obowi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 zasady jej wykonawstwa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2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posiada wysoko rozwini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osobowo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artystyczn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umo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tworzenie, przygotowywanie i realizacj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asnych koncepcji artystycznych w zakresie wykonawstwa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ci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we wszelkich obszarach dzia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ci.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P7_INS_U_01 (INS_VIII)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pog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bia znajomo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repertuaru 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nych styl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i epok z kanonu literatury muzyki danej specjalno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 pozwalaj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na interpretacje na 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liwie najwy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korzysta ze zdobytych umiej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warsztatowych w zakresie umo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cym mu swobodne wykonywanie zawodu muzyka instrumentalisty , utrzymuje sprawno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muzyka instrumentalisty poprzez codzienne rozwijanie technik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wiczenia niezb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dnych do rozwoju artystycznego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P7_INS_U_07 (INS_XIII)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2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372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1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13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3915" w:hRule="atLeast"/>
        </w:trPr>
        <w:tc>
          <w:tcPr>
            <w:tcW w:type="dxa" w:w="7513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Semestr 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Zasady budowania melodii</w:t>
            </w:r>
          </w:p>
          <w:p>
            <w:pPr>
              <w:pStyle w:val="Normal.0"/>
              <w:numPr>
                <w:ilvl w:val="0"/>
                <w:numId w:val="1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Gatunki kontrapunktyczne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3.Imitacja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it-IT"/>
              </w:rPr>
              <w:t>a: kanon.</w:t>
            </w:r>
          </w:p>
          <w:p>
            <w:pPr>
              <w:pStyle w:val="Normal.0"/>
              <w:tabs>
                <w:tab w:val="left" w:pos="328"/>
              </w:tabs>
              <w:suppressAutoHyphens w:val="1"/>
              <w:bidi w:val="0"/>
              <w:spacing w:after="0" w:line="240" w:lineRule="auto"/>
              <w:ind w:left="0" w:right="0" w:firstLine="0"/>
              <w:jc w:val="both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Semestr II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Imitacja swobodna: Inwencje 2 i 3-g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osowe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  <w:lang w:val="pt-PT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pt-PT"/>
              </w:rPr>
              <w:t>Fuga</w:t>
            </w:r>
          </w:p>
          <w:p>
            <w:pPr>
              <w:pStyle w:val="Normal.0"/>
              <w:numPr>
                <w:ilvl w:val="0"/>
                <w:numId w:val="2"/>
              </w:numPr>
              <w:suppressAutoHyphens w:val="1"/>
              <w:bidi w:val="0"/>
              <w:spacing w:after="0" w:line="240" w:lineRule="auto"/>
              <w:ind w:right="0"/>
              <w:jc w:val="both"/>
              <w:rPr>
                <w:rFonts w:ascii="HK Grotesk" w:cs="HK Grotesk" w:hAnsi="HK Grotesk" w:eastAsia="HK Grotesk"/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Analiza przyk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 literatury orkiestrowej i oratoryjno-kantatowej rozmaitych epok, opartych o techniki polifoniczne</w:t>
            </w:r>
          </w:p>
          <w:p>
            <w:pPr>
              <w:pStyle w:val="Normal.0"/>
              <w:tabs>
                <w:tab w:val="left" w:pos="6498"/>
              </w:tabs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Uwaga: pedagog ma moz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liwos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zdecydowac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o nierealizowaniu wybranych zagadnien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ba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przeniesieniu lub zamienieniu kolejnos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ich realizacji w toku pracy z grupa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, ba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 poszerzenia zakresu realizacji wybranych zagadnien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czy poszerzenia programu o wybrane a nieuje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te powyz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̇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ej zagadnienia, o ile aktywnos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grupy pozwala przewidywac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́ 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dodatkowe korzys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́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ci merytoryczne p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yna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̨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z podobnych redefinicji uk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i w:val="1"/>
                <w:i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adu programu</w:t>
            </w:r>
          </w:p>
        </w:tc>
        <w:tc>
          <w:tcPr>
            <w:tcW w:type="dxa" w:w="143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580" w:hRule="atLeast"/>
        </w:trPr>
        <w:tc>
          <w:tcPr>
            <w:tcW w:type="dxa" w:w="2168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6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u w:color="ff000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wyk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ad problemowy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analiza przypadk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rozwi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zywanie zada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ń 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u w:color="ff0000"/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 xml:space="preserve">praca indywidualna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wszystkie inne metody stosowane przez prowadz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ą</w:t>
            </w:r>
            <w:r>
              <w:rPr>
                <w:sz w:val="20"/>
                <w:szCs w:val="20"/>
                <w:u w:color="ff0000"/>
                <w:shd w:val="nil" w:color="auto" w:fill="auto"/>
                <w:rtl w:val="0"/>
              </w:rPr>
              <w:t>cego przedmiot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8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weryfikacji efekt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w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6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9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68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9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0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Numer efektu uczenia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</w:p>
        </w:tc>
        <w:tc>
          <w:tcPr>
            <w:tcW w:type="dxa" w:w="20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Tre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24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kszta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3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1-6</w:t>
            </w:r>
          </w:p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1-4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320" w:hRule="atLeast"/>
        </w:trPr>
        <w:tc>
          <w:tcPr>
            <w:tcW w:type="dxa" w:w="172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15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1. Zaliczenie semestru I na podstawie frekwencji studenta, prezentacji jednego zagadnienia zadanego przez prowadz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cego modu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oraz subiektywnej oceny post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studenta dokonanej przez pedagoga.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2. Kolokwium zaliczaj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 semestr II zako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czone wystawieniem oceny przez pedagoga prowadz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K Grotesk" w:cs="HK Grotesk" w:hAnsi="HK Grotesk" w:eastAsia="HK Grotesk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cego przedmiot.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0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2167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II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29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4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2372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J. Gawlas,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1979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K. Sikorski,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Kontrapunkt,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1954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Historia harmonii i kontrapunktu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1958-90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J. Chomin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ski,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Formy muzyczne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, Krak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1974-87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zbiory kanon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wokalnych od 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redniowiecza do XX w.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 od omawianego kompleksu ideowo-merytorycznego, w tym m. in.: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J. S. Bach,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>Das Wohltemperierte Klavier, Kunst der Fuge, Inwencje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2 i 3-g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osowe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, Musikalisches Opfer, Wariacje Goldbergowskie,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chora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y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1319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spacing w:after="0" w:line="240" w:lineRule="auto"/>
              <w:rPr>
                <w:rFonts w:ascii="HK Grotesk" w:cs="HK Grotesk" w:hAnsi="HK Grotesk" w:eastAsia="HK Grotesk"/>
                <w:sz w:val="20"/>
                <w:szCs w:val="20"/>
                <w:lang w:val="en-US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>Mann, The Study of Counterpoint, Nowy Jork/Londyn 1971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HK Grotesk" w:cs="HK Grotesk" w:hAnsi="HK Grotesk" w:eastAsia="HK Grotesk"/>
                <w:sz w:val="20"/>
                <w:szCs w:val="20"/>
                <w:rtl w:val="0"/>
                <w:lang w:val="en-US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J. J. Fux, </w:t>
            </w:r>
            <w:r>
              <w:rPr>
                <w:rFonts w:ascii="Calibri" w:cs="HK Grotesk" w:hAnsi="Calibri" w:eastAsia="HK Grotesk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Gradus ad Parnassum,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n-US"/>
              </w:rPr>
              <w:t>1725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wybrane partytury do analizy okres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lonych aspekt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zagadnien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́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kontrapunktycznych i fakturalnych w zalez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̇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nos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́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ci od omawianego kompleksu ideowo-merytorycznego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KALKULACJA NAK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30</w:t>
            </w:r>
          </w:p>
        </w:tc>
        <w:tc>
          <w:tcPr>
            <w:tcW w:type="dxa" w:w="3112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zaj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11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Przygotowanie si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Praca w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asna z literatur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2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czny nak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8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50</w:t>
            </w:r>
          </w:p>
        </w:tc>
        <w:tc>
          <w:tcPr>
            <w:tcW w:type="dxa" w:w="3112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Łą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47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08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Imi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50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27.06.2023</w:t>
            </w:r>
          </w:p>
        </w:tc>
        <w:tc>
          <w:tcPr>
            <w:tcW w:type="dxa" w:w="4608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5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Ca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118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08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5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cs="Helvetica Neue" w:hAnsi="Helvetica Neue" w:eastAsia="Helvetica Neu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K Grotesk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8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upperLetter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4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