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Gra na violone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Mgr Justyna Rek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-Raubo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- Gra na violone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yciu uczelni i  poza 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w konkursach i festiwalach. Tworzenie nowej przestrzeni koncertowej. 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800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2.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artystycznych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Program zr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óż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nicowany pod wzgl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i mo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dob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obowi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liwo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cia kszta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