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894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86"/>
        <w:gridCol w:w="186"/>
        <w:gridCol w:w="357"/>
        <w:gridCol w:w="439"/>
        <w:gridCol w:w="235"/>
        <w:gridCol w:w="197"/>
        <w:gridCol w:w="160"/>
        <w:gridCol w:w="243"/>
        <w:gridCol w:w="281"/>
        <w:gridCol w:w="459"/>
        <w:gridCol w:w="586"/>
        <w:gridCol w:w="303"/>
        <w:gridCol w:w="312"/>
        <w:gridCol w:w="211"/>
        <w:gridCol w:w="404"/>
        <w:gridCol w:w="235"/>
        <w:gridCol w:w="394"/>
        <w:gridCol w:w="308"/>
        <w:gridCol w:w="160"/>
        <w:gridCol w:w="343"/>
        <w:gridCol w:w="514"/>
        <w:gridCol w:w="231"/>
        <w:gridCol w:w="1200"/>
      </w:tblGrid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Nazwa przedmiotu: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Kontrapunkt historyczny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6999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Jednostka prowadz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ca przedmiot: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Wydzia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ł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Instrumentalny</w:t>
            </w:r>
          </w:p>
        </w:tc>
        <w:tc>
          <w:tcPr>
            <w:tcW w:type="dxa" w:w="1945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Rok akademicki: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202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5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/202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6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4632"/>
            <w:gridSpan w:val="1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Kierunek: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Instrumentalistyka</w:t>
            </w:r>
          </w:p>
        </w:tc>
        <w:tc>
          <w:tcPr>
            <w:tcW w:type="dxa" w:w="4312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Specjalno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ść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: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Muzyka dawna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Gra na violi da gamba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3284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Forma studi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w: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stacjonarne II st.</w:t>
            </w:r>
          </w:p>
        </w:tc>
        <w:tc>
          <w:tcPr>
            <w:tcW w:type="dxa" w:w="2904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Profil kszta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cenia: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og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lnoakademicki  (A)</w:t>
            </w:r>
          </w:p>
        </w:tc>
        <w:tc>
          <w:tcPr>
            <w:tcW w:type="dxa" w:w="275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Status przedmiotu: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obowi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zkowy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2760"/>
            <w:gridSpan w:val="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Forma zaj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ęć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wyk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ad</w:t>
            </w:r>
          </w:p>
        </w:tc>
        <w:tc>
          <w:tcPr>
            <w:tcW w:type="dxa" w:w="239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zyk przedmiotu: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polski</w:t>
            </w:r>
          </w:p>
        </w:tc>
        <w:tc>
          <w:tcPr>
            <w:tcW w:type="dxa" w:w="1844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Rok/semestr: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I/ semestr I-II</w:t>
            </w:r>
          </w:p>
        </w:tc>
        <w:tc>
          <w:tcPr>
            <w:tcW w:type="dxa" w:w="194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Wymiar godzin: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30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403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Koordynator przedmiotu</w:t>
            </w:r>
          </w:p>
        </w:tc>
        <w:tc>
          <w:tcPr>
            <w:tcW w:type="dxa" w:w="6541"/>
            <w:gridSpan w:val="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Kierownik Katedry Muzyki Dawnej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403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Prowadz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cy zaj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fr-FR"/>
              </w:rPr>
              <w:t>cia</w:t>
            </w:r>
          </w:p>
        </w:tc>
        <w:tc>
          <w:tcPr>
            <w:tcW w:type="dxa" w:w="6541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Mgr Przemys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aw Zych</w:t>
            </w:r>
          </w:p>
        </w:tc>
      </w:tr>
      <w:tr>
        <w:tblPrEx>
          <w:shd w:val="clear" w:color="auto" w:fill="cdd4e9"/>
        </w:tblPrEx>
        <w:trPr>
          <w:trHeight w:val="2090" w:hRule="atLeast"/>
        </w:trPr>
        <w:tc>
          <w:tcPr>
            <w:tcW w:type="dxa" w:w="2403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Cele przedmiotu</w:t>
            </w:r>
          </w:p>
        </w:tc>
        <w:tc>
          <w:tcPr>
            <w:tcW w:type="dxa" w:w="6541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Przygotowanie do samodzielnego pisania utwor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w polifonicznych, tj. 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fug, kanon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w, swobodnych form (preludium, toccata) i ostinatowych (passacaglia) oraz opracowa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ń 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na instrumenty solo 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i na orkiestr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w r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óż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nych stylach i gatunkach historycznych przy pomocy procedur kontrapunktycznych, ze szczeg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lnym uwzgl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dnieniem stylu barokowego. Opanowanie korelacji przebiegu poziomego z warstw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tonaln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oraz rytmiczn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utworu. Poszerzenie wiedzy przysz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ego dyrygenta i wyrobienie wra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liwo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ci na linearny przebieg dzie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a muzycznego oraz 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wiadomo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ść 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proces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w fakturalnych.</w:t>
            </w:r>
          </w:p>
        </w:tc>
      </w:tr>
      <w:tr>
        <w:tblPrEx>
          <w:shd w:val="clear" w:color="auto" w:fill="cdd4e9"/>
        </w:tblPrEx>
        <w:trPr>
          <w:trHeight w:val="763" w:hRule="atLeast"/>
        </w:trPr>
        <w:tc>
          <w:tcPr>
            <w:tcW w:type="dxa" w:w="2403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Wymagania wst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pne</w:t>
            </w:r>
          </w:p>
        </w:tc>
        <w:tc>
          <w:tcPr>
            <w:tcW w:type="dxa" w:w="6541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Egzamin konkursowy na studia II stopnia, kierunek - instrumentalistyka,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specjalno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-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Gra na violi da gamba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1372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Kategorie efekt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</w:t>
            </w:r>
          </w:p>
        </w:tc>
        <w:tc>
          <w:tcPr>
            <w:tcW w:type="dxa" w:w="1031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Numer efektu</w:t>
            </w:r>
          </w:p>
        </w:tc>
        <w:tc>
          <w:tcPr>
            <w:tcW w:type="dxa" w:w="5110"/>
            <w:gridSpan w:val="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EFEKTY UCZENIA SI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DLA PRZEDMIOTU</w:t>
            </w:r>
          </w:p>
        </w:tc>
        <w:tc>
          <w:tcPr>
            <w:tcW w:type="dxa" w:w="143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Numer efektu kier./spec. </w:t>
            </w:r>
          </w:p>
        </w:tc>
      </w:tr>
      <w:tr>
        <w:tblPrEx>
          <w:shd w:val="clear" w:color="auto" w:fill="cdd4e9"/>
        </w:tblPrEx>
        <w:trPr>
          <w:trHeight w:val="1310" w:hRule="atLeast"/>
        </w:trPr>
        <w:tc>
          <w:tcPr>
            <w:tcW w:type="dxa" w:w="1372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Wiedza (W)</w:t>
            </w:r>
          </w:p>
        </w:tc>
        <w:tc>
          <w:tcPr>
            <w:tcW w:type="dxa" w:w="10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</w:t>
            </w:r>
          </w:p>
        </w:tc>
        <w:tc>
          <w:tcPr>
            <w:tcW w:type="dxa" w:w="5110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ma gruntown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znajomo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repertuaru muzyki danej specjalno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 oraz jej specyficznych obszar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w: literatury muzyki solowej, kameralnej z udzia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em instrument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w towarzysz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cych, zna aktualnie obowi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zuj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ce zasady jej wykonawstwa</w:t>
            </w:r>
          </w:p>
        </w:tc>
        <w:tc>
          <w:tcPr>
            <w:tcW w:type="dxa" w:w="143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P7_INS_W_01 (INS_I)</w:t>
            </w:r>
          </w:p>
        </w:tc>
      </w:tr>
      <w:tr>
        <w:tblPrEx>
          <w:shd w:val="clear" w:color="auto" w:fill="cdd4e9"/>
        </w:tblPrEx>
        <w:trPr>
          <w:trHeight w:val="1310" w:hRule="atLeast"/>
        </w:trPr>
        <w:tc>
          <w:tcPr>
            <w:tcW w:type="dxa" w:w="1372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Umiej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tno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 (U)</w:t>
            </w:r>
          </w:p>
        </w:tc>
        <w:tc>
          <w:tcPr>
            <w:tcW w:type="dxa" w:w="10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5110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posiada wysoko rozwini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osobowo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artystyczn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umo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liwiaj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tworzenie, przygotowywanie i realizacj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w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asnych koncepcji artystycznych w zakresie wykonawstwa muzyki danej specjalno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ci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–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we wszelkich obszarach dzia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alno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ci.</w:t>
            </w:r>
          </w:p>
        </w:tc>
        <w:tc>
          <w:tcPr>
            <w:tcW w:type="dxa" w:w="143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de-DE"/>
              </w:rPr>
              <w:t>P7_INS_U_01 (INS_VIII)</w:t>
            </w:r>
          </w:p>
        </w:tc>
      </w:tr>
      <w:tr>
        <w:tblPrEx>
          <w:shd w:val="clear" w:color="auto" w:fill="cdd4e9"/>
        </w:tblPrEx>
        <w:trPr>
          <w:trHeight w:val="1050" w:hRule="atLeast"/>
        </w:trPr>
        <w:tc>
          <w:tcPr>
            <w:tcW w:type="dxa" w:w="1372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5110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pog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bia znajomo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repertuaru r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nych styl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w i epok z kanonu literatury muzyki danej specjalno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ci, kt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re pozwalaj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na interpretacje na mo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liwie najwy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szym poziomie artystycznym</w:t>
            </w:r>
          </w:p>
        </w:tc>
        <w:tc>
          <w:tcPr>
            <w:tcW w:type="dxa" w:w="143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de-DE"/>
              </w:rPr>
              <w:t>P7_INS_U_02 (INS_IX)</w:t>
            </w:r>
          </w:p>
        </w:tc>
      </w:tr>
      <w:tr>
        <w:tblPrEx>
          <w:shd w:val="clear" w:color="auto" w:fill="cdd4e9"/>
        </w:tblPrEx>
        <w:trPr>
          <w:trHeight w:val="1310" w:hRule="atLeast"/>
        </w:trPr>
        <w:tc>
          <w:tcPr>
            <w:tcW w:type="dxa" w:w="1372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4</w:t>
            </w:r>
          </w:p>
        </w:tc>
        <w:tc>
          <w:tcPr>
            <w:tcW w:type="dxa" w:w="5110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korzysta ze zdobytych umiej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tno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 warsztatowych w zakresie umo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liwiaj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cym mu swobodne wykonywanie zawodu muzyka instrumentalisty , utrzymuje sprawno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muzyka instrumentalisty poprzez codzienne rozwijanie technik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ć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wiczenia niezb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dnych do rozwoju artystycznego</w:t>
            </w:r>
          </w:p>
        </w:tc>
        <w:tc>
          <w:tcPr>
            <w:tcW w:type="dxa" w:w="143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de-DE"/>
              </w:rPr>
              <w:t>P7_INS_U_07 (INS_XIII)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372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Kompetencje spo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eczne (K)</w:t>
            </w:r>
          </w:p>
        </w:tc>
        <w:tc>
          <w:tcPr>
            <w:tcW w:type="dxa" w:w="10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110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3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372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110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3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372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110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3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372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110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3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7513"/>
            <w:gridSpan w:val="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TRE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 PROGRAMOWE PRZEDMIOTU</w:t>
            </w:r>
          </w:p>
        </w:tc>
        <w:tc>
          <w:tcPr>
            <w:tcW w:type="dxa" w:w="143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Liczba godzin</w:t>
            </w:r>
          </w:p>
        </w:tc>
      </w:tr>
      <w:tr>
        <w:tblPrEx>
          <w:shd w:val="clear" w:color="auto" w:fill="cdd4e9"/>
        </w:tblPrEx>
        <w:trPr>
          <w:trHeight w:val="3915" w:hRule="atLeast"/>
        </w:trPr>
        <w:tc>
          <w:tcPr>
            <w:tcW w:type="dxa" w:w="7513"/>
            <w:gridSpan w:val="21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1"/>
              <w:spacing w:after="0" w:line="240" w:lineRule="auto"/>
              <w:rPr>
                <w:cap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tabs>
                <w:tab w:val="left" w:pos="328"/>
              </w:tabs>
              <w:suppressAutoHyphens w:val="1"/>
              <w:bidi w:val="0"/>
              <w:spacing w:after="0" w:line="240" w:lineRule="auto"/>
              <w:ind w:left="0" w:right="0" w:firstLine="0"/>
              <w:jc w:val="both"/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Semestr I</w:t>
            </w:r>
          </w:p>
          <w:p>
            <w:pPr>
              <w:pStyle w:val="Normal.0"/>
              <w:numPr>
                <w:ilvl w:val="0"/>
                <w:numId w:val="1"/>
              </w:numPr>
              <w:suppressAutoHyphens w:val="1"/>
              <w:bidi w:val="0"/>
              <w:spacing w:after="0" w:line="240" w:lineRule="auto"/>
              <w:ind w:right="0"/>
              <w:jc w:val="both"/>
              <w:rPr>
                <w:rFonts w:ascii="HK Grotesk" w:cs="HK Grotesk" w:hAnsi="HK Grotesk" w:eastAsia="HK Grotesk"/>
                <w:sz w:val="20"/>
                <w:szCs w:val="20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Zasady budowania melodii</w:t>
            </w:r>
          </w:p>
          <w:p>
            <w:pPr>
              <w:pStyle w:val="Normal.0"/>
              <w:numPr>
                <w:ilvl w:val="0"/>
                <w:numId w:val="1"/>
              </w:numPr>
              <w:suppressAutoHyphens w:val="1"/>
              <w:bidi w:val="0"/>
              <w:spacing w:after="0" w:line="240" w:lineRule="auto"/>
              <w:ind w:right="0"/>
              <w:jc w:val="both"/>
              <w:rPr>
                <w:rFonts w:ascii="HK Grotesk" w:cs="HK Grotesk" w:hAnsi="HK Grotesk" w:eastAsia="HK Grotesk"/>
                <w:sz w:val="20"/>
                <w:szCs w:val="20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Gatunki kontrapunktyczne</w:t>
            </w:r>
          </w:p>
          <w:p>
            <w:pPr>
              <w:pStyle w:val="Normal.0"/>
              <w:tabs>
                <w:tab w:val="left" w:pos="6498"/>
              </w:tabs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3.Imitacja 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cis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it-IT"/>
              </w:rPr>
              <w:t>a: kanon.</w:t>
            </w:r>
          </w:p>
          <w:p>
            <w:pPr>
              <w:pStyle w:val="Normal.0"/>
              <w:tabs>
                <w:tab w:val="left" w:pos="328"/>
              </w:tabs>
              <w:suppressAutoHyphens w:val="1"/>
              <w:bidi w:val="0"/>
              <w:spacing w:after="0" w:line="240" w:lineRule="auto"/>
              <w:ind w:left="0" w:right="0" w:firstLine="0"/>
              <w:jc w:val="both"/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Semestr II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both"/>
              <w:rPr>
                <w:rFonts w:ascii="HK Grotesk" w:cs="HK Grotesk" w:hAnsi="HK Grotesk" w:eastAsia="HK Grotesk"/>
                <w:sz w:val="20"/>
                <w:szCs w:val="20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Imitacja swobodna: Inwencje 2 i 3-g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osowe</w:t>
            </w:r>
          </w:p>
          <w:p>
            <w:pPr>
              <w:pStyle w:val="Normal.0"/>
              <w:numPr>
                <w:ilvl w:val="0"/>
                <w:numId w:val="2"/>
              </w:numPr>
              <w:suppressAutoHyphens w:val="1"/>
              <w:bidi w:val="0"/>
              <w:spacing w:after="0" w:line="240" w:lineRule="auto"/>
              <w:ind w:right="0"/>
              <w:jc w:val="both"/>
              <w:rPr>
                <w:rFonts w:ascii="HK Grotesk" w:cs="HK Grotesk" w:hAnsi="HK Grotesk" w:eastAsia="HK Grotesk"/>
                <w:sz w:val="20"/>
                <w:szCs w:val="20"/>
                <w:rtl w:val="0"/>
                <w:lang w:val="pt-PT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pt-PT"/>
              </w:rPr>
              <w:t>Fuga</w:t>
            </w:r>
          </w:p>
          <w:p>
            <w:pPr>
              <w:pStyle w:val="Normal.0"/>
              <w:numPr>
                <w:ilvl w:val="0"/>
                <w:numId w:val="2"/>
              </w:numPr>
              <w:suppressAutoHyphens w:val="1"/>
              <w:bidi w:val="0"/>
              <w:spacing w:after="0" w:line="240" w:lineRule="auto"/>
              <w:ind w:right="0"/>
              <w:jc w:val="both"/>
              <w:rPr>
                <w:rFonts w:ascii="HK Grotesk" w:cs="HK Grotesk" w:hAnsi="HK Grotesk" w:eastAsia="HK Grotesk"/>
                <w:sz w:val="20"/>
                <w:szCs w:val="20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Analiza przyk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ad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z literatury orkiestrowej i oratoryjno-kantatowej rozmaitych epok, opartych o techniki polifoniczne</w:t>
            </w:r>
          </w:p>
          <w:p>
            <w:pPr>
              <w:pStyle w:val="Normal.0"/>
              <w:tabs>
                <w:tab w:val="left" w:pos="6498"/>
              </w:tabs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Uwaga: pedagog ma moz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̇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liwos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́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zdecydowac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o nierealizowaniu wybranych zagadnien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ba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̨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dz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przeniesieniu lub zamienieniu kolejnos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́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ci ich realizacji w toku pracy z grupa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̨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, ba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̨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dz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do poszerzenia zakresu realizacji wybranych zagadnien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czy poszerzenia programu o wybrane a nieuje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̨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te powyz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̇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ej zagadnienia, o ile aktywnos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́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grupy pozwala przewidywac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dodatkowe korzys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́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ci merytoryczne p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yna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̨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ce z podobnych redefinicji uk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adu programu</w:t>
            </w:r>
          </w:p>
        </w:tc>
        <w:tc>
          <w:tcPr>
            <w:tcW w:type="dxa" w:w="143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15</w:t>
            </w:r>
          </w:p>
          <w:p>
            <w:pPr>
              <w:pStyle w:val="Normal.0"/>
              <w:spacing w:after="0"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15</w:t>
            </w:r>
          </w:p>
          <w:p>
            <w:pPr>
              <w:pStyle w:val="Normal.0"/>
              <w:spacing w:after="0"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1580" w:hRule="atLeast"/>
        </w:trPr>
        <w:tc>
          <w:tcPr>
            <w:tcW w:type="dxa" w:w="2168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Metody kszta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cenia</w:t>
            </w:r>
          </w:p>
        </w:tc>
        <w:tc>
          <w:tcPr>
            <w:tcW w:type="dxa" w:w="6776"/>
            <w:gridSpan w:val="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  <w:u w:color="ff0000"/>
              </w:rPr>
            </w:pP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>wyk</w:t>
            </w: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 xml:space="preserve">ad problemowy </w:t>
            </w:r>
          </w:p>
          <w:p>
            <w:pPr>
              <w:pStyle w:val="Default"/>
              <w:numPr>
                <w:ilvl w:val="0"/>
                <w:numId w:val="4"/>
              </w:numPr>
              <w:bidi w:val="0"/>
              <w:spacing w:after="0" w:line="240" w:lineRule="auto"/>
              <w:ind w:right="0"/>
              <w:jc w:val="left"/>
              <w:rPr>
                <w:sz w:val="20"/>
                <w:szCs w:val="20"/>
                <w:u w:color="ff0000"/>
                <w:rtl w:val="0"/>
              </w:rPr>
            </w:pP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>analiza przypadk</w:t>
            </w:r>
            <w:r>
              <w:rPr>
                <w:sz w:val="20"/>
                <w:szCs w:val="20"/>
                <w:u w:color="ff000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 xml:space="preserve">w </w:t>
            </w:r>
          </w:p>
          <w:p>
            <w:pPr>
              <w:pStyle w:val="Default"/>
              <w:numPr>
                <w:ilvl w:val="0"/>
                <w:numId w:val="4"/>
              </w:numPr>
              <w:bidi w:val="0"/>
              <w:spacing w:after="0" w:line="240" w:lineRule="auto"/>
              <w:ind w:right="0"/>
              <w:jc w:val="left"/>
              <w:rPr>
                <w:sz w:val="20"/>
                <w:szCs w:val="20"/>
                <w:u w:color="ff0000"/>
                <w:rtl w:val="0"/>
              </w:rPr>
            </w:pP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>rozwi</w:t>
            </w: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>zywanie zada</w:t>
            </w: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 xml:space="preserve">ń </w:t>
            </w:r>
          </w:p>
          <w:p>
            <w:pPr>
              <w:pStyle w:val="Default"/>
              <w:numPr>
                <w:ilvl w:val="0"/>
                <w:numId w:val="4"/>
              </w:numPr>
              <w:bidi w:val="0"/>
              <w:spacing w:after="0" w:line="240" w:lineRule="auto"/>
              <w:ind w:right="0"/>
              <w:jc w:val="left"/>
              <w:rPr>
                <w:sz w:val="20"/>
                <w:szCs w:val="20"/>
                <w:u w:color="ff0000"/>
                <w:rtl w:val="0"/>
              </w:rPr>
            </w:pP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 xml:space="preserve">praca indywidualna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>wszystkie inne metody stosowane przez prowadz</w:t>
            </w: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>cego przedmiot</w:t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68"/>
            <w:gridSpan w:val="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Metody weryfikacji efekt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w uczenia si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</w:p>
        </w:tc>
        <w:tc>
          <w:tcPr>
            <w:tcW w:type="dxa" w:w="2776"/>
            <w:gridSpan w:val="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Metoda</w:t>
            </w:r>
          </w:p>
        </w:tc>
        <w:tc>
          <w:tcPr>
            <w:tcW w:type="dxa" w:w="3999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Numer efektu uczenia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168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6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1.zaliczenie (semestr 1)</w:t>
            </w:r>
          </w:p>
        </w:tc>
        <w:tc>
          <w:tcPr>
            <w:tcW w:type="dxa" w:w="3999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168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6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2.kolokwium (semestr 2)</w:t>
            </w:r>
          </w:p>
        </w:tc>
        <w:tc>
          <w:tcPr>
            <w:tcW w:type="dxa" w:w="3999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168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6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99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68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6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99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KORELACJA EFEKT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W UCZENIA SI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Z TRE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CIAMI PROGRAMOWYMI, METODAMI KSZTA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CENIA I WERYFIKACJI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2600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Numer efektu uczenia si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</w:p>
        </w:tc>
        <w:tc>
          <w:tcPr>
            <w:tcW w:type="dxa" w:w="203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Tre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 kszta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cenia</w:t>
            </w:r>
          </w:p>
        </w:tc>
        <w:tc>
          <w:tcPr>
            <w:tcW w:type="dxa" w:w="2024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Metody kszta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cenia</w:t>
            </w:r>
          </w:p>
        </w:tc>
        <w:tc>
          <w:tcPr>
            <w:tcW w:type="dxa" w:w="2287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Metody weryfikacji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600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203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1-6</w:t>
            </w:r>
          </w:p>
        </w:tc>
        <w:tc>
          <w:tcPr>
            <w:tcW w:type="dxa" w:w="2024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1-4</w:t>
            </w:r>
          </w:p>
        </w:tc>
        <w:tc>
          <w:tcPr>
            <w:tcW w:type="dxa" w:w="2287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00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203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1-6</w:t>
            </w:r>
          </w:p>
        </w:tc>
        <w:tc>
          <w:tcPr>
            <w:tcW w:type="dxa" w:w="202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1-4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00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03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1-6</w:t>
            </w:r>
          </w:p>
        </w:tc>
        <w:tc>
          <w:tcPr>
            <w:tcW w:type="dxa" w:w="202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1-4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00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14</w:t>
            </w:r>
          </w:p>
        </w:tc>
        <w:tc>
          <w:tcPr>
            <w:tcW w:type="dxa" w:w="203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1-6</w:t>
            </w:r>
          </w:p>
        </w:tc>
        <w:tc>
          <w:tcPr>
            <w:tcW w:type="dxa" w:w="202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1-4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600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1320" w:hRule="atLeast"/>
        </w:trPr>
        <w:tc>
          <w:tcPr>
            <w:tcW w:type="dxa" w:w="1729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Warunki zaliczenia</w:t>
            </w:r>
          </w:p>
        </w:tc>
        <w:tc>
          <w:tcPr>
            <w:tcW w:type="dxa" w:w="7215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1. Zaliczenie semestru I na podstawie frekwencji studenta, prezentacji jednego zagadnienia zadanego przez prowadz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cego modu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ł 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oraz subiektywnej oceny post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p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studenta dokonanej przez pedagoga.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2. Kolokwium zaliczaj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ce semestr II zako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czone wystawieniem oceny przez pedagoga prowadz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cego przedmiot.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729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Rok</w:t>
            </w:r>
          </w:p>
        </w:tc>
        <w:tc>
          <w:tcPr>
            <w:tcW w:type="dxa" w:w="2600"/>
            <w:gridSpan w:val="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I</w:t>
            </w:r>
          </w:p>
        </w:tc>
        <w:tc>
          <w:tcPr>
            <w:tcW w:type="dxa" w:w="2167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II</w:t>
            </w:r>
          </w:p>
        </w:tc>
        <w:tc>
          <w:tcPr>
            <w:tcW w:type="dxa" w:w="2447"/>
            <w:gridSpan w:val="5"/>
            <w:vMerge w:val="restart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729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Semestr</w:t>
            </w:r>
          </w:p>
        </w:tc>
        <w:tc>
          <w:tcPr>
            <w:tcW w:type="dxa" w:w="1274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I</w:t>
            </w:r>
          </w:p>
        </w:tc>
        <w:tc>
          <w:tcPr>
            <w:tcW w:type="dxa" w:w="132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II</w:t>
            </w:r>
          </w:p>
        </w:tc>
        <w:tc>
          <w:tcPr>
            <w:tcW w:type="dxa" w:w="123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47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729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ECTS</w:t>
            </w:r>
          </w:p>
        </w:tc>
        <w:tc>
          <w:tcPr>
            <w:tcW w:type="dxa" w:w="1274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</w:t>
            </w:r>
          </w:p>
        </w:tc>
        <w:tc>
          <w:tcPr>
            <w:tcW w:type="dxa" w:w="132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</w:t>
            </w:r>
          </w:p>
        </w:tc>
        <w:tc>
          <w:tcPr>
            <w:tcW w:type="dxa" w:w="123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47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729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Liczba godzin</w:t>
            </w:r>
          </w:p>
        </w:tc>
        <w:tc>
          <w:tcPr>
            <w:tcW w:type="dxa" w:w="1274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15</w:t>
            </w:r>
          </w:p>
        </w:tc>
        <w:tc>
          <w:tcPr>
            <w:tcW w:type="dxa" w:w="132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15</w:t>
            </w:r>
          </w:p>
        </w:tc>
        <w:tc>
          <w:tcPr>
            <w:tcW w:type="dxa" w:w="123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47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729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Rodzaj zaliczenia</w:t>
            </w:r>
          </w:p>
        </w:tc>
        <w:tc>
          <w:tcPr>
            <w:tcW w:type="dxa" w:w="1274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zaliczenie</w:t>
            </w:r>
          </w:p>
        </w:tc>
        <w:tc>
          <w:tcPr>
            <w:tcW w:type="dxa" w:w="132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kolokwium</w:t>
            </w:r>
          </w:p>
        </w:tc>
        <w:tc>
          <w:tcPr>
            <w:tcW w:type="dxa" w:w="123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47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Literatura podstawowa</w:t>
            </w:r>
          </w:p>
        </w:tc>
      </w:tr>
      <w:tr>
        <w:tblPrEx>
          <w:shd w:val="clear" w:color="auto" w:fill="cdd4e9"/>
        </w:tblPrEx>
        <w:trPr>
          <w:trHeight w:val="2372" w:hRule="atLeast"/>
        </w:trPr>
        <w:tc>
          <w:tcPr>
            <w:tcW w:type="dxa" w:w="894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J. Gawlas, </w:t>
            </w:r>
            <w:r>
              <w:rPr>
                <w:rFonts w:ascii="Calibri" w:cs="HK Grotesk" w:hAnsi="Calibri" w:eastAsia="HK Grotesk"/>
                <w:i w:val="1"/>
                <w:iCs w:val="1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Kontrapunkt, 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Krak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1979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K. Sikorski, </w:t>
            </w:r>
            <w:r>
              <w:rPr>
                <w:rFonts w:ascii="Calibri" w:cs="HK Grotesk" w:hAnsi="Calibri" w:eastAsia="HK Grotesk"/>
                <w:i w:val="1"/>
                <w:iCs w:val="1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Kontrapunkt, 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Krak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1954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J. Chomin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́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ski, </w:t>
            </w:r>
            <w:r>
              <w:rPr>
                <w:rFonts w:ascii="Calibri" w:cs="HK Grotesk" w:hAnsi="Calibri" w:eastAsia="HK Grotesk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Historia harmonii i kontrapunktu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, Krak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1958-90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J. Chomin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́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ski, </w:t>
            </w:r>
            <w:r>
              <w:rPr>
                <w:rFonts w:ascii="Calibri" w:cs="HK Grotesk" w:hAnsi="Calibri" w:eastAsia="HK Grotesk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Formy muzyczne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, Krak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1974-87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zbiory kanon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wokalnych od s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́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redniowiecza do XX w.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wybrane partytury do analizy okres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́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lonych aspekt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zagadnien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́ 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kontrapunktycznych i fakturalnych w zalez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̇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nos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́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ci od omawianego kompleksu ideowo-merytorycznego, w tym m. in.: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J. S. Bach, 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de-DE"/>
              </w:rPr>
              <w:t>Das Wohltemperierte Klavier, Kunst der Fuge, Inwencje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2 i 3-g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osowe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, Musikalisches Opfer, Wariacje Goldbergowskie, 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chora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y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894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Literatura uzupe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niaj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ca</w:t>
            </w:r>
          </w:p>
        </w:tc>
      </w:tr>
      <w:tr>
        <w:tblPrEx>
          <w:shd w:val="clear" w:color="auto" w:fill="cdd4e9"/>
        </w:tblPrEx>
        <w:trPr>
          <w:trHeight w:val="1319" w:hRule="atLeast"/>
        </w:trPr>
        <w:tc>
          <w:tcPr>
            <w:tcW w:type="dxa" w:w="894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5"/>
              </w:numPr>
              <w:spacing w:after="0" w:line="240" w:lineRule="auto"/>
              <w:rPr>
                <w:rFonts w:ascii="HK Grotesk" w:cs="HK Grotesk" w:hAnsi="HK Grotesk" w:eastAsia="HK Grotesk"/>
                <w:sz w:val="20"/>
                <w:szCs w:val="20"/>
                <w:lang w:val="en-US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n-US"/>
              </w:rPr>
              <w:t>Mann, The Study of Counterpoint, Nowy Jork/Londyn 1971</w:t>
            </w:r>
          </w:p>
          <w:p>
            <w:pPr>
              <w:pStyle w:val="Normal.0"/>
              <w:numPr>
                <w:ilvl w:val="0"/>
                <w:numId w:val="5"/>
              </w:numPr>
              <w:bidi w:val="0"/>
              <w:spacing w:after="0" w:line="240" w:lineRule="auto"/>
              <w:ind w:right="0"/>
              <w:jc w:val="left"/>
              <w:rPr>
                <w:rFonts w:ascii="HK Grotesk" w:cs="HK Grotesk" w:hAnsi="HK Grotesk" w:eastAsia="HK Grotesk"/>
                <w:sz w:val="20"/>
                <w:szCs w:val="20"/>
                <w:rtl w:val="0"/>
                <w:lang w:val="en-US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J. J. Fux, </w:t>
            </w:r>
            <w:r>
              <w:rPr>
                <w:rFonts w:ascii="Calibri" w:cs="HK Grotesk" w:hAnsi="Calibri" w:eastAsia="HK Grotesk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Gradus ad Parnassum, 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n-US"/>
              </w:rPr>
              <w:t>1725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wybrane partytury do analizy okres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́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lonych aspekt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zagadnien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́ 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kontrapunktycznych i fakturalnych w zalez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̇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nos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́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ci od omawianego kompleksu ideowo-merytorycznego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KALKULACJA NAK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ADU PRACY STUDENTA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3743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Zaj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cia dydaktyczne</w:t>
            </w:r>
          </w:p>
        </w:tc>
        <w:tc>
          <w:tcPr>
            <w:tcW w:type="dxa" w:w="889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30</w:t>
            </w:r>
          </w:p>
        </w:tc>
        <w:tc>
          <w:tcPr>
            <w:tcW w:type="dxa" w:w="3112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Przygotowanie si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do prezentacji / koncertu</w:t>
            </w:r>
          </w:p>
        </w:tc>
        <w:tc>
          <w:tcPr>
            <w:tcW w:type="dxa" w:w="120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10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3743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Przygotowanie si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do zaj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ęć</w:t>
            </w:r>
          </w:p>
        </w:tc>
        <w:tc>
          <w:tcPr>
            <w:tcW w:type="dxa" w:w="88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10</w:t>
            </w:r>
          </w:p>
        </w:tc>
        <w:tc>
          <w:tcPr>
            <w:tcW w:type="dxa" w:w="3112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Przygotowanie si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do egzaminu / zaliczenia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743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Praca w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asna z literatur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</w:p>
        </w:tc>
        <w:tc>
          <w:tcPr>
            <w:tcW w:type="dxa" w:w="88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12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de-DE"/>
              </w:rPr>
              <w:t>Inne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3743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Konsultacje</w:t>
            </w:r>
          </w:p>
        </w:tc>
        <w:tc>
          <w:tcPr>
            <w:tcW w:type="dxa" w:w="88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12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3743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Łą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czny nak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ad pracy w godzinach</w:t>
            </w:r>
          </w:p>
        </w:tc>
        <w:tc>
          <w:tcPr>
            <w:tcW w:type="dxa" w:w="889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50</w:t>
            </w:r>
          </w:p>
        </w:tc>
        <w:tc>
          <w:tcPr>
            <w:tcW w:type="dxa" w:w="3112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Łą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czna liczba ECTS</w:t>
            </w:r>
          </w:p>
        </w:tc>
        <w:tc>
          <w:tcPr>
            <w:tcW w:type="dxa" w:w="120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2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Mo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liwo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ci kariery zawodowej</w:t>
            </w:r>
          </w:p>
        </w:tc>
      </w:tr>
      <w:tr>
        <w:tblPrEx>
          <w:shd w:val="clear" w:color="auto" w:fill="cdd4e9"/>
        </w:tblPrEx>
        <w:trPr>
          <w:trHeight w:val="447" w:hRule="atLeast"/>
        </w:trPr>
        <w:tc>
          <w:tcPr>
            <w:tcW w:type="dxa" w:w="894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podj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cie pracy zawodowej</w:t>
            </w:r>
          </w:p>
          <w:p>
            <w:pPr>
              <w:pStyle w:val="Normal.0"/>
              <w:numPr>
                <w:ilvl w:val="0"/>
                <w:numId w:val="7"/>
              </w:numPr>
              <w:bidi w:val="0"/>
              <w:spacing w:after="0" w:line="240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liwo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podj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cia kszta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cenia w szkole doktorskiej lub na studiach podyplomowych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Ostatnia modyfikacja opisu przedmiotu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18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Data</w:t>
            </w:r>
          </w:p>
        </w:tc>
        <w:tc>
          <w:tcPr>
            <w:tcW w:type="dxa" w:w="4608"/>
            <w:gridSpan w:val="15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Imi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i nazwisko</w:t>
            </w:r>
          </w:p>
        </w:tc>
        <w:tc>
          <w:tcPr>
            <w:tcW w:type="dxa" w:w="3150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Czego dotyczy modyfikacja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18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27.06.2023</w:t>
            </w:r>
          </w:p>
        </w:tc>
        <w:tc>
          <w:tcPr>
            <w:tcW w:type="dxa" w:w="4608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Lilianna Stawarz</w:t>
            </w:r>
          </w:p>
        </w:tc>
        <w:tc>
          <w:tcPr>
            <w:tcW w:type="dxa" w:w="3150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Ca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y dokument</w:t>
            </w:r>
          </w:p>
        </w:tc>
      </w:tr>
      <w:tr>
        <w:tblPrEx>
          <w:shd w:val="clear" w:color="auto" w:fill="cdd4e9"/>
        </w:tblPrEx>
        <w:trPr>
          <w:trHeight w:val="235" w:hRule="atLeast"/>
        </w:trPr>
        <w:tc>
          <w:tcPr>
            <w:tcW w:type="dxa" w:w="118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09.05.2026</w:t>
            </w:r>
          </w:p>
        </w:tc>
        <w:tc>
          <w:tcPr>
            <w:tcW w:type="dxa" w:w="4608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Agnieszka Przemyk-Bry</w:t>
            </w: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ł</w:t>
            </w: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</w:t>
            </w:r>
          </w:p>
        </w:tc>
        <w:tc>
          <w:tcPr>
            <w:tcW w:type="dxa" w:w="3150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Daty</w:t>
            </w:r>
          </w:p>
        </w:tc>
      </w:tr>
    </w:tbl>
    <w:p>
      <w:pPr>
        <w:pStyle w:val="Treś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" w:hanging="108"/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8566"/>
          <w:tab w:val="left" w:pos="8566"/>
          <w:tab w:val="left" w:pos="8566"/>
        </w:tabs>
        <w:spacing w:after="0" w:line="240" w:lineRule="auto"/>
        <w:rPr>
          <w:rFonts w:ascii="Helvetica Neue" w:cs="Helvetica Neue" w:hAnsi="Helvetica Neue" w:eastAsia="Helvetica Neu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ind w:left="392" w:hanging="392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</w:pP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K Grotesk">
    <w:charset w:val="00"/>
    <w:family w:val="roman"/>
    <w:pitch w:val="default"/>
  </w:font>
  <w:font w:name="Grotesq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328"/>
        </w:tabs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28"/>
        </w:tabs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328"/>
        </w:tabs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28"/>
        </w:tabs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328"/>
        </w:tabs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328"/>
        </w:tabs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28"/>
        </w:tabs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328"/>
        </w:tabs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328"/>
        </w:tabs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328"/>
        </w:tabs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28"/>
        </w:tabs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328"/>
        </w:tabs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28"/>
        </w:tabs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328"/>
        </w:tabs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328"/>
        </w:tabs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28"/>
        </w:tabs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328"/>
        </w:tabs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328"/>
        </w:tabs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upperLetter"/>
      <w:suff w:val="tab"/>
      <w:lvlText w:val="%1."/>
      <w:lvlJc w:val="left"/>
      <w:pPr>
        <w:ind w:left="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1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ind w:left="2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ind w:left="3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ind w:left="4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ind w:left="5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ind w:left="6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ind w:left="7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ind w:left="8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40"/>
        </w:tabs>
        <w:ind w:left="145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60"/>
        </w:tabs>
        <w:ind w:left="217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num" w:pos="2880"/>
        </w:tabs>
        <w:ind w:left="2892" w:hanging="37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600"/>
        </w:tabs>
        <w:ind w:left="361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320"/>
        </w:tabs>
        <w:ind w:left="433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num" w:pos="5040"/>
        </w:tabs>
        <w:ind w:left="5052" w:hanging="37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760"/>
        </w:tabs>
        <w:ind w:left="577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480"/>
        </w:tabs>
        <w:ind w:left="649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43"/>
        </w:tabs>
        <w:ind w:left="75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num" w:pos="1103"/>
        </w:tabs>
        <w:ind w:left="111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num" w:pos="1823"/>
        </w:tabs>
        <w:ind w:left="183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num" w:pos="2543"/>
        </w:tabs>
        <w:ind w:left="255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num" w:pos="3263"/>
        </w:tabs>
        <w:ind w:left="327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num" w:pos="3983"/>
        </w:tabs>
        <w:ind w:left="399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num" w:pos="4703"/>
        </w:tabs>
        <w:ind w:left="471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num" w:pos="5423"/>
        </w:tabs>
        <w:ind w:left="543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num" w:pos="6143"/>
        </w:tabs>
        <w:ind w:left="615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4"/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